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3BA" w:rsidRDefault="00E603BA" w:rsidP="00E603BA">
      <w:pPr>
        <w:pStyle w:val="Sansinterligne"/>
        <w:jc w:val="center"/>
        <w:rPr>
          <w:rFonts w:asciiTheme="majorHAnsi" w:hAnsiTheme="majorHAnsi"/>
          <w:b/>
          <w:noProof/>
          <w:sz w:val="28"/>
        </w:rPr>
      </w:pPr>
      <w:r>
        <w:rPr>
          <w:noProof/>
          <w:lang w:val="fr-CA" w:eastAsia="fr-CA"/>
        </w:rPr>
        <w:drawing>
          <wp:inline distT="0" distB="0" distL="0" distR="0" wp14:anchorId="4DED6007" wp14:editId="2689B8D2">
            <wp:extent cx="3983355" cy="580390"/>
            <wp:effectExtent l="0" t="0" r="0" b="0"/>
            <wp:docPr id="7" name="Image 7"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83355" cy="580390"/>
                    </a:xfrm>
                    <a:prstGeom prst="rect">
                      <a:avLst/>
                    </a:prstGeom>
                    <a:noFill/>
                    <a:ln>
                      <a:noFill/>
                    </a:ln>
                  </pic:spPr>
                </pic:pic>
              </a:graphicData>
            </a:graphic>
          </wp:inline>
        </w:drawing>
      </w:r>
    </w:p>
    <w:p w:rsidR="00E603BA" w:rsidRDefault="00E603BA" w:rsidP="00E603BA">
      <w:pPr>
        <w:pStyle w:val="Sansinterligne"/>
        <w:jc w:val="center"/>
        <w:rPr>
          <w:rFonts w:asciiTheme="majorHAnsi" w:hAnsiTheme="majorHAnsi"/>
          <w:b/>
          <w:noProof/>
          <w:sz w:val="28"/>
        </w:rPr>
      </w:pPr>
      <w:r w:rsidRPr="002461DA">
        <w:rPr>
          <w:rFonts w:asciiTheme="majorHAnsi" w:hAnsiTheme="majorHAnsi"/>
          <w:b/>
          <w:noProof/>
          <w:sz w:val="28"/>
        </w:rPr>
        <w:t>Get ready for a mini-ehpic</w:t>
      </w:r>
      <w:r w:rsidRPr="002461DA">
        <w:rPr>
          <w:rFonts w:asciiTheme="majorHAnsi" w:hAnsiTheme="majorHAnsi"/>
          <w:b/>
          <w:noProof/>
          <w:sz w:val="28"/>
          <w:vertAlign w:val="superscript"/>
        </w:rPr>
        <w:t>TM</w:t>
      </w:r>
      <w:r w:rsidRPr="002461DA">
        <w:rPr>
          <w:rFonts w:asciiTheme="majorHAnsi" w:hAnsiTheme="majorHAnsi"/>
          <w:b/>
          <w:noProof/>
          <w:sz w:val="28"/>
        </w:rPr>
        <w:t>!!!</w:t>
      </w:r>
    </w:p>
    <w:p w:rsidR="00E603BA" w:rsidRDefault="00E603BA" w:rsidP="00E603BA">
      <w:pPr>
        <w:pStyle w:val="Sansinterligne"/>
        <w:jc w:val="center"/>
        <w:rPr>
          <w:rFonts w:asciiTheme="majorHAnsi" w:hAnsiTheme="majorHAnsi"/>
          <w:b/>
          <w:noProof/>
          <w:sz w:val="28"/>
        </w:rPr>
      </w:pPr>
      <w:r>
        <w:rPr>
          <w:rFonts w:asciiTheme="majorHAnsi" w:hAnsiTheme="majorHAnsi"/>
          <w:b/>
          <w:noProof/>
          <w:sz w:val="28"/>
        </w:rPr>
        <w:t>Workshop on interprofessional education and collaboration</w:t>
      </w:r>
    </w:p>
    <w:p w:rsidR="00E603BA" w:rsidRDefault="00E603BA" w:rsidP="00E603BA">
      <w:pPr>
        <w:pStyle w:val="Sansinterligne"/>
        <w:jc w:val="center"/>
        <w:rPr>
          <w:rFonts w:asciiTheme="majorHAnsi" w:hAnsiTheme="majorHAnsi"/>
          <w:b/>
          <w:noProof/>
          <w:sz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278"/>
      </w:tblGrid>
      <w:tr w:rsidR="00E603BA" w:rsidTr="00CB4BFF">
        <w:tc>
          <w:tcPr>
            <w:tcW w:w="7792" w:type="dxa"/>
          </w:tcPr>
          <w:p w:rsidR="00E603BA" w:rsidRPr="00452011" w:rsidRDefault="00E603BA" w:rsidP="00E603BA">
            <w:pPr>
              <w:keepNext/>
              <w:spacing w:before="0"/>
              <w:outlineLvl w:val="1"/>
              <w:rPr>
                <w:rFonts w:eastAsia="Times New Roman" w:cs="Arial"/>
                <w:b/>
                <w:bCs/>
                <w:color w:val="auto"/>
                <w:sz w:val="22"/>
                <w:szCs w:val="22"/>
                <w:lang w:val="fr-CA" w:eastAsia="en-US"/>
              </w:rPr>
            </w:pPr>
            <w:r w:rsidRPr="00452011">
              <w:rPr>
                <w:rFonts w:eastAsia="Times New Roman" w:cs="Arial"/>
                <w:b/>
                <w:bCs/>
                <w:color w:val="000000"/>
                <w:sz w:val="22"/>
                <w:szCs w:val="22"/>
                <w:lang w:val="fr-CA" w:eastAsia="en-US"/>
              </w:rPr>
              <w:t xml:space="preserve">Donna Romano, RN., </w:t>
            </w:r>
            <w:proofErr w:type="spellStart"/>
            <w:r w:rsidRPr="00452011">
              <w:rPr>
                <w:rFonts w:eastAsia="Times New Roman" w:cs="Arial"/>
                <w:b/>
                <w:bCs/>
                <w:color w:val="000000"/>
                <w:sz w:val="22"/>
                <w:szCs w:val="22"/>
                <w:lang w:val="fr-CA" w:eastAsia="en-US"/>
              </w:rPr>
              <w:t>MSc</w:t>
            </w:r>
            <w:proofErr w:type="spellEnd"/>
            <w:r w:rsidRPr="00452011">
              <w:rPr>
                <w:rFonts w:eastAsia="Times New Roman" w:cs="Arial"/>
                <w:b/>
                <w:bCs/>
                <w:color w:val="000000"/>
                <w:sz w:val="22"/>
                <w:szCs w:val="22"/>
                <w:lang w:val="fr-CA" w:eastAsia="en-US"/>
              </w:rPr>
              <w:t>, PhD, CPMHN(C)</w:t>
            </w:r>
          </w:p>
          <w:p w:rsidR="00E603BA" w:rsidRPr="00452011" w:rsidRDefault="00E603BA" w:rsidP="00E603BA">
            <w:pPr>
              <w:autoSpaceDE w:val="0"/>
              <w:autoSpaceDN w:val="0"/>
              <w:adjustRightInd w:val="0"/>
              <w:spacing w:before="0"/>
              <w:rPr>
                <w:rFonts w:eastAsia="Times New Roman" w:cs="Arial"/>
                <w:color w:val="auto"/>
                <w:sz w:val="22"/>
                <w:szCs w:val="22"/>
                <w:lang w:val="fr-CA" w:eastAsia="en-US"/>
              </w:rPr>
            </w:pPr>
          </w:p>
          <w:p w:rsidR="00E603BA" w:rsidRPr="00452011" w:rsidRDefault="00E603BA" w:rsidP="00E603BA">
            <w:pPr>
              <w:autoSpaceDE w:val="0"/>
              <w:autoSpaceDN w:val="0"/>
              <w:adjustRightInd w:val="0"/>
              <w:spacing w:before="0"/>
              <w:rPr>
                <w:rFonts w:eastAsia="Times New Roman" w:cs="Arial"/>
                <w:color w:val="auto"/>
                <w:sz w:val="22"/>
                <w:szCs w:val="22"/>
                <w:lang w:eastAsia="en-US"/>
              </w:rPr>
            </w:pPr>
            <w:r w:rsidRPr="00452011">
              <w:rPr>
                <w:rFonts w:eastAsia="Times New Roman" w:cs="Arial"/>
                <w:color w:val="auto"/>
                <w:sz w:val="22"/>
                <w:szCs w:val="22"/>
                <w:lang w:eastAsia="en-US"/>
              </w:rPr>
              <w:t xml:space="preserve">Donna Romano is the </w:t>
            </w:r>
            <w:proofErr w:type="spellStart"/>
            <w:r w:rsidRPr="00452011">
              <w:rPr>
                <w:rFonts w:eastAsia="Times New Roman" w:cs="Arial"/>
                <w:bCs/>
                <w:color w:val="auto"/>
                <w:sz w:val="22"/>
                <w:szCs w:val="22"/>
                <w:lang w:eastAsia="en-US"/>
              </w:rPr>
              <w:t>Interprofessional</w:t>
            </w:r>
            <w:proofErr w:type="spellEnd"/>
            <w:r w:rsidRPr="00452011">
              <w:rPr>
                <w:rFonts w:eastAsia="Times New Roman" w:cs="Arial"/>
                <w:bCs/>
                <w:color w:val="auto"/>
                <w:sz w:val="22"/>
                <w:szCs w:val="22"/>
                <w:lang w:eastAsia="en-US"/>
              </w:rPr>
              <w:t xml:space="preserve"> Care &amp; Education Leader at UHN </w:t>
            </w:r>
            <w:r w:rsidRPr="00452011">
              <w:rPr>
                <w:rFonts w:eastAsia="Times New Roman" w:cs="Arial"/>
                <w:color w:val="auto"/>
                <w:sz w:val="22"/>
                <w:szCs w:val="22"/>
                <w:lang w:eastAsia="en-US"/>
              </w:rPr>
              <w:t xml:space="preserve">and lectures at the Bloomberg Faculty of Nursing at the University of Toronto (UT). Donna began her Nursing studies at McMaster University, receiving her Bachelor of Science in Nursing, while later completing graduate school from the Faculty of Nursing, at UT. Her </w:t>
            </w:r>
            <w:proofErr w:type="gramStart"/>
            <w:r w:rsidRPr="00452011">
              <w:rPr>
                <w:rFonts w:eastAsia="Times New Roman" w:cs="Arial"/>
                <w:color w:val="auto"/>
                <w:sz w:val="22"/>
                <w:szCs w:val="22"/>
                <w:lang w:eastAsia="en-US"/>
              </w:rPr>
              <w:t>20 year</w:t>
            </w:r>
            <w:proofErr w:type="gramEnd"/>
            <w:r w:rsidRPr="00452011">
              <w:rPr>
                <w:rFonts w:eastAsia="Times New Roman" w:cs="Arial"/>
                <w:color w:val="auto"/>
                <w:sz w:val="22"/>
                <w:szCs w:val="22"/>
                <w:lang w:eastAsia="en-US"/>
              </w:rPr>
              <w:t xml:space="preserve"> Nursing career has specialized in Mental Health Nursing, including clinical and hospital administrative roles. Her clinical and research interests </w:t>
            </w:r>
            <w:proofErr w:type="spellStart"/>
            <w:r w:rsidRPr="00452011">
              <w:rPr>
                <w:rFonts w:eastAsia="Times New Roman" w:cs="Arial"/>
                <w:color w:val="auto"/>
                <w:sz w:val="22"/>
                <w:szCs w:val="22"/>
                <w:lang w:eastAsia="en-US"/>
              </w:rPr>
              <w:t>ce</w:t>
            </w:r>
            <w:bookmarkStart w:id="0" w:name="_GoBack"/>
            <w:bookmarkEnd w:id="0"/>
            <w:r w:rsidRPr="00452011">
              <w:rPr>
                <w:rFonts w:eastAsia="Times New Roman" w:cs="Arial"/>
                <w:color w:val="auto"/>
                <w:sz w:val="22"/>
                <w:szCs w:val="22"/>
                <w:lang w:eastAsia="en-US"/>
              </w:rPr>
              <w:t>ntre</w:t>
            </w:r>
            <w:proofErr w:type="spellEnd"/>
            <w:r w:rsidRPr="00452011">
              <w:rPr>
                <w:rFonts w:eastAsia="Times New Roman" w:cs="Arial"/>
                <w:color w:val="auto"/>
                <w:sz w:val="22"/>
                <w:szCs w:val="22"/>
                <w:lang w:eastAsia="en-US"/>
              </w:rPr>
              <w:t xml:space="preserve"> around the recovery process in first episode schizophrenia, fostering effective inter-professional teamwork, and researching the development of trust on health care teams. Donna was part of the panel that developed a Registered Nursing Association of Ontario RNAO best practice guideline for healthy work environments. In 2009, she completed her PhD at the Institute of Medical Science University of Toronto. Her dissertation focused on “Exploring the Process of Recovery from a First Episode of Schizophrenia”. </w:t>
            </w:r>
          </w:p>
          <w:p w:rsidR="00E603BA" w:rsidRPr="00452011" w:rsidRDefault="00E603BA" w:rsidP="00E603BA">
            <w:pPr>
              <w:autoSpaceDE w:val="0"/>
              <w:autoSpaceDN w:val="0"/>
              <w:adjustRightInd w:val="0"/>
              <w:spacing w:before="0"/>
              <w:rPr>
                <w:rFonts w:eastAsia="Times New Roman" w:cs="Arial"/>
                <w:color w:val="auto"/>
                <w:sz w:val="22"/>
                <w:szCs w:val="22"/>
                <w:lang w:eastAsia="en-US"/>
              </w:rPr>
            </w:pPr>
            <w:hyperlink r:id="rId5" w:history="1">
              <w:r w:rsidRPr="00452011">
                <w:rPr>
                  <w:rFonts w:eastAsia="Times New Roman" w:cs="Arial"/>
                  <w:color w:val="0000FF"/>
                  <w:sz w:val="22"/>
                  <w:szCs w:val="22"/>
                  <w:u w:val="single"/>
                  <w:lang w:eastAsia="en-US"/>
                </w:rPr>
                <w:t>donna.romano@uhn.ca</w:t>
              </w:r>
            </w:hyperlink>
          </w:p>
          <w:p w:rsidR="00E603BA" w:rsidRPr="00452011" w:rsidRDefault="00E603BA" w:rsidP="00E603BA">
            <w:pPr>
              <w:pStyle w:val="Sansinterligne"/>
              <w:spacing w:before="0"/>
              <w:rPr>
                <w:b/>
                <w:noProof/>
                <w:sz w:val="28"/>
              </w:rPr>
            </w:pPr>
          </w:p>
        </w:tc>
        <w:tc>
          <w:tcPr>
            <w:tcW w:w="2278" w:type="dxa"/>
          </w:tcPr>
          <w:p w:rsidR="00E603BA" w:rsidRDefault="00E603BA" w:rsidP="00E603BA">
            <w:pPr>
              <w:pStyle w:val="Sansinterligne"/>
              <w:spacing w:before="0"/>
              <w:jc w:val="right"/>
              <w:rPr>
                <w:rFonts w:asciiTheme="majorHAnsi" w:hAnsiTheme="majorHAnsi"/>
                <w:b/>
                <w:noProof/>
                <w:sz w:val="28"/>
              </w:rPr>
            </w:pPr>
          </w:p>
          <w:p w:rsidR="00E603BA" w:rsidRDefault="00E603BA" w:rsidP="00E603BA">
            <w:pPr>
              <w:pStyle w:val="Sansinterligne"/>
              <w:spacing w:before="0"/>
              <w:jc w:val="right"/>
              <w:rPr>
                <w:rFonts w:asciiTheme="majorHAnsi" w:hAnsiTheme="majorHAnsi"/>
                <w:b/>
                <w:noProof/>
                <w:sz w:val="28"/>
              </w:rPr>
            </w:pPr>
          </w:p>
          <w:p w:rsidR="00E603BA" w:rsidRDefault="00E603BA" w:rsidP="00E603BA">
            <w:pPr>
              <w:pStyle w:val="Sansinterligne"/>
              <w:spacing w:before="0"/>
              <w:jc w:val="right"/>
              <w:rPr>
                <w:rFonts w:asciiTheme="majorHAnsi" w:hAnsiTheme="majorHAnsi"/>
                <w:b/>
                <w:noProof/>
                <w:sz w:val="28"/>
              </w:rPr>
            </w:pPr>
          </w:p>
          <w:p w:rsidR="00E603BA" w:rsidRDefault="00E603BA" w:rsidP="00E603BA">
            <w:pPr>
              <w:pStyle w:val="Sansinterligne"/>
              <w:spacing w:before="0"/>
              <w:jc w:val="right"/>
              <w:rPr>
                <w:rFonts w:asciiTheme="majorHAnsi" w:hAnsiTheme="majorHAnsi"/>
                <w:b/>
                <w:noProof/>
                <w:sz w:val="28"/>
              </w:rPr>
            </w:pPr>
          </w:p>
          <w:p w:rsidR="00E603BA" w:rsidRDefault="00E603BA" w:rsidP="00E603BA">
            <w:pPr>
              <w:pStyle w:val="Sansinterligne"/>
              <w:spacing w:before="0"/>
              <w:jc w:val="right"/>
              <w:rPr>
                <w:rFonts w:asciiTheme="majorHAnsi" w:hAnsiTheme="majorHAnsi"/>
                <w:b/>
                <w:noProof/>
                <w:sz w:val="28"/>
              </w:rPr>
            </w:pPr>
            <w:r w:rsidRPr="00452011">
              <w:rPr>
                <w:rFonts w:asciiTheme="majorHAnsi" w:hAnsiTheme="majorHAnsi"/>
                <w:b/>
                <w:noProof/>
                <w:sz w:val="28"/>
                <w:lang w:val="fr-CA" w:eastAsia="fr-CA"/>
              </w:rPr>
              <w:drawing>
                <wp:inline distT="0" distB="0" distL="0" distR="0" wp14:anchorId="0C8426AF" wp14:editId="44CCCB9C">
                  <wp:extent cx="1114414" cy="1528876"/>
                  <wp:effectExtent l="0" t="0" r="0" b="0"/>
                  <wp:docPr id="17" name="Image 17" descr="G:\ARCASN conference 2017\D. Romano - Head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RCASN conference 2017\D. Romano - Headsho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1013" cy="1551649"/>
                          </a:xfrm>
                          <a:prstGeom prst="rect">
                            <a:avLst/>
                          </a:prstGeom>
                          <a:noFill/>
                          <a:ln>
                            <a:noFill/>
                          </a:ln>
                        </pic:spPr>
                      </pic:pic>
                    </a:graphicData>
                  </a:graphic>
                </wp:inline>
              </w:drawing>
            </w:r>
          </w:p>
        </w:tc>
      </w:tr>
      <w:tr w:rsidR="00E603BA" w:rsidTr="00CB4BFF">
        <w:tc>
          <w:tcPr>
            <w:tcW w:w="7792" w:type="dxa"/>
          </w:tcPr>
          <w:p w:rsidR="00E603BA" w:rsidRPr="00452011" w:rsidRDefault="00E603BA" w:rsidP="00E603BA">
            <w:pPr>
              <w:spacing w:before="0"/>
              <w:rPr>
                <w:rFonts w:eastAsia="Times New Roman" w:cs="Arial"/>
                <w:b/>
                <w:color w:val="auto"/>
                <w:sz w:val="22"/>
                <w:szCs w:val="22"/>
                <w:lang w:eastAsia="en-US"/>
              </w:rPr>
            </w:pPr>
            <w:r w:rsidRPr="00452011">
              <w:rPr>
                <w:rFonts w:eastAsia="Times New Roman" w:cs="Arial"/>
                <w:b/>
                <w:color w:val="auto"/>
                <w:sz w:val="22"/>
                <w:szCs w:val="22"/>
                <w:lang w:eastAsia="en-US"/>
              </w:rPr>
              <w:t xml:space="preserve">Lynne Sinclair, MA (Ad Ed), BSc (PT), PT </w:t>
            </w:r>
            <w:proofErr w:type="spellStart"/>
            <w:r w:rsidRPr="00452011">
              <w:rPr>
                <w:rFonts w:eastAsia="Times New Roman" w:cs="Arial"/>
                <w:b/>
                <w:color w:val="auto"/>
                <w:sz w:val="22"/>
                <w:szCs w:val="22"/>
                <w:lang w:eastAsia="en-US"/>
              </w:rPr>
              <w:t>Reg</w:t>
            </w:r>
            <w:proofErr w:type="spellEnd"/>
            <w:r w:rsidRPr="00452011">
              <w:rPr>
                <w:rFonts w:eastAsia="Times New Roman" w:cs="Arial"/>
                <w:b/>
                <w:color w:val="auto"/>
                <w:sz w:val="22"/>
                <w:szCs w:val="22"/>
                <w:lang w:eastAsia="en-US"/>
              </w:rPr>
              <w:t xml:space="preserve"> (Ont.)</w:t>
            </w:r>
          </w:p>
          <w:p w:rsidR="00E603BA" w:rsidRPr="00452011" w:rsidRDefault="00E603BA" w:rsidP="00E603BA">
            <w:pPr>
              <w:spacing w:before="0"/>
              <w:rPr>
                <w:rFonts w:eastAsia="Times New Roman" w:cs="Arial"/>
                <w:color w:val="auto"/>
                <w:sz w:val="22"/>
                <w:szCs w:val="22"/>
                <w:lang w:eastAsia="en-US"/>
              </w:rPr>
            </w:pPr>
          </w:p>
          <w:p w:rsidR="00E603BA" w:rsidRPr="00452011" w:rsidRDefault="00E603BA" w:rsidP="00E603BA">
            <w:pPr>
              <w:spacing w:before="0"/>
              <w:rPr>
                <w:rFonts w:eastAsia="Times New Roman" w:cs="Arial"/>
                <w:color w:val="auto"/>
                <w:sz w:val="22"/>
                <w:szCs w:val="22"/>
                <w:lang w:eastAsia="en-US"/>
              </w:rPr>
            </w:pPr>
            <w:r w:rsidRPr="00452011">
              <w:rPr>
                <w:rFonts w:eastAsia="Times New Roman" w:cs="Arial"/>
                <w:color w:val="auto"/>
                <w:sz w:val="22"/>
                <w:szCs w:val="22"/>
                <w:lang w:eastAsia="en-US"/>
              </w:rPr>
              <w:t xml:space="preserve">Lynne Sinclair is the Innovative Program and External Development Lead, Centre for </w:t>
            </w:r>
            <w:proofErr w:type="spellStart"/>
            <w:r w:rsidRPr="00452011">
              <w:rPr>
                <w:rFonts w:eastAsia="Times New Roman" w:cs="Arial"/>
                <w:color w:val="auto"/>
                <w:sz w:val="22"/>
                <w:szCs w:val="22"/>
                <w:lang w:eastAsia="en-US"/>
              </w:rPr>
              <w:t>Interprofessional</w:t>
            </w:r>
            <w:proofErr w:type="spellEnd"/>
            <w:r w:rsidRPr="00452011">
              <w:rPr>
                <w:rFonts w:eastAsia="Times New Roman" w:cs="Arial"/>
                <w:color w:val="auto"/>
                <w:sz w:val="22"/>
                <w:szCs w:val="22"/>
                <w:lang w:eastAsia="en-US"/>
              </w:rPr>
              <w:t xml:space="preserve"> Education (IPE), University of Toronto (UT), </w:t>
            </w:r>
            <w:proofErr w:type="gramStart"/>
            <w:r w:rsidRPr="00452011">
              <w:rPr>
                <w:rFonts w:eastAsia="Times New Roman" w:cs="Arial"/>
                <w:color w:val="auto"/>
                <w:sz w:val="22"/>
                <w:szCs w:val="22"/>
                <w:lang w:eastAsia="en-US"/>
              </w:rPr>
              <w:t>an</w:t>
            </w:r>
            <w:proofErr w:type="gramEnd"/>
            <w:r w:rsidRPr="00452011">
              <w:rPr>
                <w:rFonts w:eastAsia="Times New Roman" w:cs="Arial"/>
                <w:color w:val="auto"/>
                <w:sz w:val="22"/>
                <w:szCs w:val="22"/>
                <w:lang w:eastAsia="en-US"/>
              </w:rPr>
              <w:t xml:space="preserve"> Educational Consultant and was appointed as the first </w:t>
            </w:r>
            <w:proofErr w:type="spellStart"/>
            <w:r w:rsidRPr="00452011">
              <w:rPr>
                <w:rFonts w:eastAsia="Times New Roman" w:cs="Arial"/>
                <w:color w:val="auto"/>
                <w:sz w:val="22"/>
                <w:szCs w:val="22"/>
                <w:lang w:eastAsia="en-US"/>
              </w:rPr>
              <w:t>Interprofessional</w:t>
            </w:r>
            <w:proofErr w:type="spellEnd"/>
            <w:r w:rsidRPr="00452011">
              <w:rPr>
                <w:rFonts w:eastAsia="Times New Roman" w:cs="Arial"/>
                <w:color w:val="auto"/>
                <w:sz w:val="22"/>
                <w:szCs w:val="22"/>
                <w:lang w:eastAsia="en-US"/>
              </w:rPr>
              <w:t xml:space="preserve"> Education Scholar-in-Residence at The School of Community and Health Studies at Centennial College. Lynne holds an appointment as an Assistant Professor with the Department of Physical Therapy, Faculty of Medicine on the Faculty of Medicine. Lynne is widely invited as a keynote speaker for conferences, educational events and courses throughout Canada, the USA, Australia, Denmark and Saudi Arabia.  She has been a principal investigator or investigator on numerous education initiatives and research projects. </w:t>
            </w:r>
            <w:r>
              <w:rPr>
                <w:rFonts w:eastAsia="Times New Roman" w:cs="Arial"/>
                <w:color w:val="auto"/>
                <w:sz w:val="22"/>
                <w:szCs w:val="22"/>
                <w:lang w:eastAsia="en-US"/>
              </w:rPr>
              <w:t xml:space="preserve">She has been the </w:t>
            </w:r>
            <w:r w:rsidRPr="00452011">
              <w:rPr>
                <w:rFonts w:eastAsia="Times New Roman" w:cs="Arial"/>
                <w:color w:val="auto"/>
                <w:sz w:val="22"/>
                <w:szCs w:val="22"/>
                <w:lang w:eastAsia="en-US"/>
              </w:rPr>
              <w:t xml:space="preserve">Associate Director at the Centre for IPE at UT and </w:t>
            </w:r>
            <w:r w:rsidR="00B61B18">
              <w:rPr>
                <w:rFonts w:eastAsia="Times New Roman" w:cs="Arial"/>
                <w:color w:val="auto"/>
                <w:sz w:val="22"/>
                <w:szCs w:val="22"/>
                <w:lang w:eastAsia="en-US"/>
              </w:rPr>
              <w:t>has</w:t>
            </w:r>
            <w:r w:rsidRPr="00452011">
              <w:rPr>
                <w:rFonts w:eastAsia="Times New Roman" w:cs="Arial"/>
                <w:color w:val="auto"/>
                <w:sz w:val="22"/>
                <w:szCs w:val="22"/>
                <w:lang w:eastAsia="en-US"/>
              </w:rPr>
              <w:t xml:space="preserve"> served as the Associate Chair of the Department of Physical Therapy at UT. Lynne’s passion for physical therapy and </w:t>
            </w:r>
            <w:proofErr w:type="spellStart"/>
            <w:r w:rsidRPr="00452011">
              <w:rPr>
                <w:rFonts w:eastAsia="Times New Roman" w:cs="Arial"/>
                <w:color w:val="auto"/>
                <w:sz w:val="22"/>
                <w:szCs w:val="22"/>
                <w:lang w:eastAsia="en-US"/>
              </w:rPr>
              <w:t>interprofessional</w:t>
            </w:r>
            <w:proofErr w:type="spellEnd"/>
            <w:r w:rsidRPr="00452011">
              <w:rPr>
                <w:rFonts w:eastAsia="Times New Roman" w:cs="Arial"/>
                <w:color w:val="auto"/>
                <w:sz w:val="22"/>
                <w:szCs w:val="22"/>
                <w:lang w:eastAsia="en-US"/>
              </w:rPr>
              <w:t xml:space="preserve"> education </w:t>
            </w:r>
            <w:proofErr w:type="gramStart"/>
            <w:r w:rsidRPr="00452011">
              <w:rPr>
                <w:rFonts w:eastAsia="Times New Roman" w:cs="Arial"/>
                <w:color w:val="auto"/>
                <w:sz w:val="22"/>
                <w:szCs w:val="22"/>
                <w:lang w:eastAsia="en-US"/>
              </w:rPr>
              <w:t>was ignited</w:t>
            </w:r>
            <w:proofErr w:type="gramEnd"/>
            <w:r w:rsidRPr="00452011">
              <w:rPr>
                <w:rFonts w:eastAsia="Times New Roman" w:cs="Arial"/>
                <w:color w:val="auto"/>
                <w:sz w:val="22"/>
                <w:szCs w:val="22"/>
                <w:lang w:eastAsia="en-US"/>
              </w:rPr>
              <w:t xml:space="preserve"> during her seven years at Toronto Rehabilitation Institute where she was the Director of Education for </w:t>
            </w:r>
            <w:r>
              <w:rPr>
                <w:rFonts w:eastAsia="Times New Roman" w:cs="Arial"/>
                <w:color w:val="auto"/>
                <w:sz w:val="22"/>
                <w:szCs w:val="22"/>
                <w:lang w:eastAsia="en-US"/>
              </w:rPr>
              <w:t>12</w:t>
            </w:r>
            <w:r w:rsidRPr="00452011">
              <w:rPr>
                <w:rFonts w:eastAsia="Times New Roman" w:cs="Arial"/>
                <w:color w:val="auto"/>
                <w:sz w:val="22"/>
                <w:szCs w:val="22"/>
                <w:lang w:eastAsia="en-US"/>
              </w:rPr>
              <w:t xml:space="preserve"> health disciplines. </w:t>
            </w:r>
            <w:r w:rsidR="00B61B18">
              <w:rPr>
                <w:rFonts w:eastAsia="Times New Roman" w:cs="Arial"/>
                <w:color w:val="auto"/>
                <w:sz w:val="22"/>
                <w:szCs w:val="22"/>
                <w:lang w:eastAsia="en-US"/>
              </w:rPr>
              <w:t xml:space="preserve">In 2008, she received the </w:t>
            </w:r>
            <w:r w:rsidRPr="00452011">
              <w:rPr>
                <w:rFonts w:eastAsia="Times New Roman" w:cs="Arial"/>
                <w:color w:val="auto"/>
                <w:sz w:val="22"/>
                <w:szCs w:val="22"/>
                <w:lang w:eastAsia="en-US"/>
              </w:rPr>
              <w:t>UT Faculty of Medicine - Helen P. Batty Award in Faculty Development for Teaching Excellence</w:t>
            </w:r>
            <w:r>
              <w:rPr>
                <w:rFonts w:eastAsia="Times New Roman" w:cs="Arial"/>
                <w:color w:val="auto"/>
                <w:sz w:val="22"/>
                <w:szCs w:val="22"/>
                <w:lang w:eastAsia="en-US"/>
              </w:rPr>
              <w:t xml:space="preserve"> along with </w:t>
            </w:r>
            <w:r w:rsidRPr="00452011">
              <w:rPr>
                <w:rFonts w:eastAsia="Times New Roman" w:cs="Arial"/>
                <w:color w:val="auto"/>
                <w:sz w:val="22"/>
                <w:szCs w:val="22"/>
                <w:lang w:eastAsia="en-US"/>
              </w:rPr>
              <w:t>an Honorary Bachelor Degree in Applied Studies by Humber College Institute of Technology and Advanced Learning in June 2013.</w:t>
            </w:r>
          </w:p>
          <w:p w:rsidR="00E603BA" w:rsidRPr="00452011" w:rsidRDefault="00E603BA" w:rsidP="00E603BA">
            <w:pPr>
              <w:pStyle w:val="Sansinterligne"/>
              <w:spacing w:before="0"/>
              <w:rPr>
                <w:b/>
                <w:noProof/>
                <w:sz w:val="28"/>
              </w:rPr>
            </w:pPr>
            <w:hyperlink r:id="rId7" w:history="1">
              <w:r w:rsidRPr="00452011">
                <w:rPr>
                  <w:rFonts w:eastAsia="Times New Roman" w:cs="Arial"/>
                  <w:color w:val="0000FF"/>
                  <w:sz w:val="22"/>
                  <w:szCs w:val="22"/>
                  <w:u w:val="single"/>
                  <w:lang w:eastAsia="en-US"/>
                </w:rPr>
                <w:t>Lynne.sinclair@uhn.ca</w:t>
              </w:r>
            </w:hyperlink>
          </w:p>
        </w:tc>
        <w:tc>
          <w:tcPr>
            <w:tcW w:w="2278" w:type="dxa"/>
          </w:tcPr>
          <w:p w:rsidR="00E603BA" w:rsidRDefault="00E603BA" w:rsidP="00E603BA">
            <w:pPr>
              <w:pStyle w:val="Sansinterligne"/>
              <w:spacing w:before="0"/>
              <w:jc w:val="right"/>
              <w:rPr>
                <w:rFonts w:asciiTheme="majorHAnsi" w:hAnsiTheme="majorHAnsi"/>
                <w:b/>
                <w:noProof/>
                <w:sz w:val="28"/>
              </w:rPr>
            </w:pPr>
          </w:p>
          <w:p w:rsidR="00E603BA" w:rsidRDefault="00E603BA" w:rsidP="00E603BA">
            <w:pPr>
              <w:pStyle w:val="Sansinterligne"/>
              <w:spacing w:before="0"/>
              <w:jc w:val="right"/>
              <w:rPr>
                <w:rFonts w:asciiTheme="majorHAnsi" w:hAnsiTheme="majorHAnsi"/>
                <w:b/>
                <w:noProof/>
                <w:sz w:val="28"/>
              </w:rPr>
            </w:pPr>
          </w:p>
          <w:p w:rsidR="00E603BA" w:rsidRDefault="00E603BA" w:rsidP="00E603BA">
            <w:pPr>
              <w:pStyle w:val="Sansinterligne"/>
              <w:spacing w:before="0"/>
              <w:jc w:val="right"/>
              <w:rPr>
                <w:rFonts w:asciiTheme="majorHAnsi" w:hAnsiTheme="majorHAnsi"/>
                <w:b/>
                <w:noProof/>
                <w:sz w:val="28"/>
              </w:rPr>
            </w:pPr>
          </w:p>
          <w:p w:rsidR="00E603BA" w:rsidRDefault="00E603BA" w:rsidP="00E603BA">
            <w:pPr>
              <w:pStyle w:val="Sansinterligne"/>
              <w:spacing w:before="0"/>
              <w:jc w:val="right"/>
              <w:rPr>
                <w:rFonts w:asciiTheme="majorHAnsi" w:hAnsiTheme="majorHAnsi"/>
                <w:b/>
                <w:noProof/>
                <w:sz w:val="28"/>
              </w:rPr>
            </w:pPr>
          </w:p>
          <w:p w:rsidR="00E603BA" w:rsidRDefault="00E603BA" w:rsidP="00E603BA">
            <w:pPr>
              <w:pStyle w:val="Sansinterligne"/>
              <w:spacing w:before="0"/>
              <w:jc w:val="right"/>
              <w:rPr>
                <w:rFonts w:asciiTheme="majorHAnsi" w:hAnsiTheme="majorHAnsi"/>
                <w:b/>
                <w:noProof/>
                <w:sz w:val="28"/>
              </w:rPr>
            </w:pPr>
            <w:r>
              <w:rPr>
                <w:noProof/>
                <w:lang w:val="fr-CA" w:eastAsia="fr-CA"/>
              </w:rPr>
              <w:drawing>
                <wp:inline distT="0" distB="0" distL="0" distR="0" wp14:anchorId="7FABF6CF" wp14:editId="03286CEC">
                  <wp:extent cx="1272845" cy="1272845"/>
                  <wp:effectExtent l="0" t="0" r="3810" b="3810"/>
                  <wp:docPr id="18" name="Image 18" descr="Résultats de recherche d'images pour « lynn sinclair u of 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s de recherche d'images pour « lynn sinclair u of 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4691" cy="1284691"/>
                          </a:xfrm>
                          <a:prstGeom prst="rect">
                            <a:avLst/>
                          </a:prstGeom>
                          <a:noFill/>
                          <a:ln>
                            <a:noFill/>
                          </a:ln>
                        </pic:spPr>
                      </pic:pic>
                    </a:graphicData>
                  </a:graphic>
                </wp:inline>
              </w:drawing>
            </w:r>
          </w:p>
        </w:tc>
      </w:tr>
    </w:tbl>
    <w:p w:rsidR="00B73A8D" w:rsidRDefault="00B73A8D" w:rsidP="00E603BA"/>
    <w:sectPr w:rsidR="00B73A8D" w:rsidSect="00E603BA">
      <w:pgSz w:w="12240" w:h="15840"/>
      <w:pgMar w:top="851" w:right="851" w:bottom="851" w:left="851" w:header="708" w:footer="708"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BA"/>
    <w:rsid w:val="00B61B18"/>
    <w:rsid w:val="00B73A8D"/>
    <w:rsid w:val="00E603B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5926"/>
  <w15:chartTrackingRefBased/>
  <w15:docId w15:val="{0334D1C0-61E5-4AE2-A532-D1BD2E92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3BA"/>
    <w:pPr>
      <w:spacing w:before="180" w:after="0" w:line="240" w:lineRule="auto"/>
    </w:pPr>
    <w:rPr>
      <w:rFonts w:eastAsiaTheme="minorEastAsia"/>
      <w:color w:val="FFFFFF" w:themeColor="background1"/>
      <w:sz w:val="32"/>
      <w:szCs w:val="32"/>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603BA"/>
    <w:pPr>
      <w:spacing w:before="180" w:after="0" w:line="240" w:lineRule="auto"/>
    </w:pPr>
    <w:rPr>
      <w:rFonts w:eastAsiaTheme="minorEastAsia"/>
      <w:color w:val="FFFFFF" w:themeColor="background1"/>
      <w:sz w:val="32"/>
      <w:szCs w:val="3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99"/>
    <w:qFormat/>
    <w:rsid w:val="00E603BA"/>
    <w:pPr>
      <w:spacing w:after="0" w:line="240" w:lineRule="auto"/>
    </w:pPr>
    <w:rPr>
      <w:rFonts w:eastAsiaTheme="minorEastAsia"/>
      <w:color w:val="000000" w:themeColor="text1"/>
      <w:sz w:val="32"/>
      <w:szCs w:val="3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Lynne.sinclair@uhn.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dromano@mtsinai.on.ca"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412</Words>
  <Characters>2272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de Moncton</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Harrison</dc:creator>
  <cp:keywords/>
  <dc:description/>
  <cp:lastModifiedBy>Suzanne Harrison</cp:lastModifiedBy>
  <cp:revision>2</cp:revision>
  <dcterms:created xsi:type="dcterms:W3CDTF">2017-05-03T12:27:00Z</dcterms:created>
  <dcterms:modified xsi:type="dcterms:W3CDTF">2017-05-03T12:30:00Z</dcterms:modified>
</cp:coreProperties>
</file>